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AFRICA MACHINERY NETWORK – WEB PLATFORM REQUIREMENTS DOCUMENT</w:t>
      </w:r>
    </w:p>
    <w:p>
      <w:r>
        <w:rPr>
          <w:b/>
        </w:rPr>
        <w:t xml:space="preserve">Project: </w:t>
      </w:r>
      <w:r>
        <w:t>Africa Machinery Network Web Platform</w:t>
        <w:br/>
      </w:r>
      <w:r>
        <w:rPr>
          <w:b/>
        </w:rPr>
        <w:t xml:space="preserve">Date: </w:t>
      </w:r>
      <w:r>
        <w:t>April 24, 2026</w:t>
        <w:br/>
      </w:r>
      <w:r>
        <w:rPr>
          <w:b/>
        </w:rPr>
        <w:t xml:space="preserve">Status: </w:t>
      </w:r>
      <w:r>
        <w:t>Project Requirements &amp; Discovery Specification</w:t>
        <w:br/>
      </w:r>
      <w:r>
        <w:rPr>
          <w:b/>
        </w:rPr>
        <w:t xml:space="preserve">Prepared By: </w:t>
      </w:r>
      <w:r>
        <w:t>Project Team</w:t>
        <w:br/>
      </w:r>
      <w:r>
        <w:rPr>
          <w:b/>
        </w:rPr>
        <w:t xml:space="preserve">Participants: </w:t>
      </w:r>
      <w:r>
        <w:t>Client Africa Machinery Network, Rutvika (Project Manager), Vikas Nagpure (Developer)</w:t>
      </w:r>
    </w:p>
    <w:p>
      <w:r>
        <w:rPr>
          <w:b/>
          <w:sz w:val="24"/>
        </w:rPr>
        <w:t>1. Purpose &amp; Project Background</w:t>
      </w:r>
    </w:p>
    <w:p>
      <w:r>
        <w:t>This document details the functional requirements, business goals, and technical scope for the Africa Machinery Network web platform. The primary objective is to launch a web-based platform to market and showcase industrial and mining machinery across 13 African regions.</w:t>
      </w:r>
    </w:p>
    <w:p>
      <w:r>
        <w:t>The platform will serve as a digital marketing and enquiry channel, enabling buyers across Africa and international markets to browse available machinery, view product details, and submit product-specific enquiries directly to the sales team. The platform is not intended as a transactional e-commerce system; rather, it will function as a product catalogue and lead-generation tool supporting the sales team in capturing qualified enquiries for follow-up. No direct sales or checkout functionality is required.</w:t>
      </w:r>
    </w:p>
    <w:p>
      <w:r>
        <w:rPr>
          <w:b/>
          <w:sz w:val="24"/>
        </w:rPr>
        <w:t>2. Regional Structure &amp; Contact Details</w:t>
      </w:r>
    </w:p>
    <w:p>
      <w:r>
        <w:t>The platform will support 13 regional divisions across Africa. Social media URLs will be uniform across all 13 regions, and a single set of social handles will be used platform-wide. Region-specific phone, WhatsApp, and email details are to be supplied by the client before the development of the Regions module begins, as these details are necessary to build the region pages.</w:t>
      </w:r>
    </w:p>
    <w:p>
      <w:r>
        <w:rPr>
          <w:b/>
          <w:sz w:val="24"/>
        </w:rPr>
        <w:t>3. Multi-Currency Support</w:t>
      </w:r>
    </w:p>
    <w:p>
      <w:r>
        <w:t>The platform will offer currency display functionality to serve both local African buyers and international visitors. Supported currencies include USD (US Dollar) and the relevant local currency per region. A currency selector will be provided on the website, allowing visitors to toggle between USD and the applicable local currency. Exchange rates will be fetched dynamically via a third-party API (live rates), rather than relying on manually entered rates. The development team will evaluate and propose a suitable currency API (e.g., Open Exchange Rates, Fixer.io, or equivalent) for client approval. Region-specific local currency codes are to be confirmed by the client.</w:t>
      </w:r>
    </w:p>
    <w:p>
      <w:r>
        <w:rPr>
          <w:b/>
          <w:sz w:val="24"/>
        </w:rPr>
        <w:t>4. User Roles &amp; Access Control</w:t>
      </w:r>
    </w:p>
    <w:p>
      <w:r>
        <w:t>The platform will implement a role-based access control (RBAC) system with two initial roles confirmed:</w:t>
        <w:br/>
        <w:t>• Super Admin: Manages all regions, products, users, logs, and settings. Has full platform access and exclusive access to audit log exports.</w:t>
        <w:br/>
        <w:t>• Regional Admin: Access is scoped to their assigned region(s). They can manage regional products and regional enquiries. Permissions boundaries will be defined in detail during the design phase.</w:t>
      </w:r>
    </w:p>
    <w:p>
      <w:r>
        <w:rPr>
          <w:b/>
          <w:sz w:val="24"/>
        </w:rPr>
        <w:t>5. Audit Logs &amp; Data Retention</w:t>
      </w:r>
    </w:p>
    <w:p>
      <w:r>
        <w:t>The platform will maintain system activity logs for compliance, operational oversight, and internal review based on the following parameters:</w:t>
        <w:br/>
        <w:t>• Log Retention Period: 3 months from the date of the activity.</w:t>
        <w:br/>
        <w:t>• Export Access: Audit logs will be exportable exclusively by the Super Admin role. Regional Admins will have no export capability.</w:t>
        <w:br/>
        <w:t>• Log Export Format: To be confirmed during the technical design phase (CSV and PDF formats will be evaluated).</w:t>
      </w:r>
    </w:p>
    <w:p>
      <w:r>
        <w:rPr>
          <w:b/>
          <w:sz w:val="24"/>
        </w:rPr>
        <w:t>6. Product Catalogue &amp; Features</w:t>
      </w:r>
    </w:p>
    <w:p>
      <w:r>
        <w:t>6.1 Product Conditions: The product catalogue will support multiple machine condition classifications to allow buyers to filter and search listings based on preferences. The confirmed conditions are New, Used, and Refurbished. All product listings require a condition field, and the front-end catalogue will include a filter option. The conditions list is designed to be extensible for future additions.</w:t>
      </w:r>
    </w:p>
    <w:p>
      <w:r>
        <w:t>6.2 Hot Seller Tag: The platform will support a 'Hot Seller' tag that can be applied manually by an Admin (Super Admin or Regional Admin) to highlighted product listings. Tagged products will receive a visual badge/label on the product card and detail page, and will function as a filter/display option.</w:t>
      </w:r>
    </w:p>
    <w:p>
      <w:r>
        <w:t>6.3 Enquiry System: The platform will facilitate a product-specific enquiry mechanism (e.g., 'Request a Quote' or 'Enquire About This Machine' on individual product pages). General contact enquiries are out of scope for this phase. Enquiries will capture the buyer's name, contact details, product reference, and message/requirements. Enquiry notifications will be routed to the relevant Regional Admin and/or the Super Admin.</w:t>
      </w:r>
    </w:p>
    <w:p>
      <w:r>
        <w:rPr>
          <w:b/>
          <w:sz w:val="24"/>
        </w:rPr>
        <w:t>7. Dedicated Pages &amp; Operations</w:t>
      </w:r>
    </w:p>
    <w:p>
      <w:r>
        <w:t>7.1 Mining Page: A standalone Mining page will be developed within the platform. This page will list all available mining machines in a catalogue format, consistent with the main product listing design. Mining machines will also appear in the general product catalogue where applicable—the Mining page serves as a curated sub-section. Filtering by condition and Hot Seller tags will apply to the Mining page as well.</w:t>
      </w:r>
    </w:p>
    <w:p>
      <w:r>
        <w:t>7.2 Rental Products: Rental product listings will NOT be managed via the platform backend. Rental enquiries and bookings will be handled directly by the operations/sales team through phone calls. Front-end visibility requirements (whether to display them as static listings or exclude them completely) will be clarified with the client.</w:t>
      </w:r>
    </w:p>
    <w:p>
      <w:r>
        <w:rPr>
          <w:b/>
          <w:sz w:val="24"/>
        </w:rPr>
        <w:t>8. Summary of Project Requirements Matrix</w:t>
      </w:r>
    </w:p>
    <w:tbl>
      <w:tblPr>
        <w:tblStyle w:val="TableGrid"/>
        <w:tblW w:type="auto" w:w="0"/>
        <w:tblLook w:firstColumn="1" w:firstRow="1" w:lastColumn="0" w:lastRow="0" w:noHBand="0" w:noVBand="1" w:val="04A0"/>
      </w:tblPr>
      <w:tblGrid>
        <w:gridCol w:w="3120"/>
        <w:gridCol w:w="3120"/>
        <w:gridCol w:w="3120"/>
      </w:tblGrid>
      <w:tr>
        <w:tc>
          <w:tcPr>
            <w:tcW w:type="dxa" w:w="3120"/>
          </w:tcPr>
          <w:p>
            <w:r>
              <w:t>Reference Code</w:t>
            </w:r>
          </w:p>
        </w:tc>
        <w:tc>
          <w:tcPr>
            <w:tcW w:type="dxa" w:w="3120"/>
          </w:tcPr>
          <w:p>
            <w:r>
              <w:t>Scope Area</w:t>
            </w:r>
          </w:p>
        </w:tc>
        <w:tc>
          <w:tcPr>
            <w:tcW w:type="dxa" w:w="3120"/>
          </w:tcPr>
          <w:p>
            <w:r>
              <w:t>Agreed Functional Specification</w:t>
            </w:r>
          </w:p>
        </w:tc>
      </w:tr>
      <w:tr>
        <w:tc>
          <w:tcPr>
            <w:tcW w:type="dxa" w:w="3120"/>
          </w:tcPr>
          <w:p>
            <w:r>
              <w:t>REQ-01</w:t>
            </w:r>
          </w:p>
        </w:tc>
        <w:tc>
          <w:tcPr>
            <w:tcW w:type="dxa" w:w="3120"/>
          </w:tcPr>
          <w:p>
            <w:r>
              <w:t>Platform Goal</w:t>
            </w:r>
          </w:p>
        </w:tc>
        <w:tc>
          <w:tcPr>
            <w:tcW w:type="dxa" w:w="3120"/>
          </w:tcPr>
          <w:p>
            <w:r>
              <w:t>Product marketing catalogue &amp; lead generation platform. No e-commerce/checkout functionality.</w:t>
            </w:r>
          </w:p>
        </w:tc>
      </w:tr>
      <w:tr>
        <w:tc>
          <w:tcPr>
            <w:tcW w:type="dxa" w:w="3120"/>
          </w:tcPr>
          <w:p>
            <w:r>
              <w:t>REQ-02</w:t>
            </w:r>
          </w:p>
        </w:tc>
        <w:tc>
          <w:tcPr>
            <w:tcW w:type="dxa" w:w="3120"/>
          </w:tcPr>
          <w:p>
            <w:r>
              <w:t>Social Media URLs</w:t>
            </w:r>
          </w:p>
        </w:tc>
        <w:tc>
          <w:tcPr>
            <w:tcW w:type="dxa" w:w="3120"/>
          </w:tcPr>
          <w:p>
            <w:r>
              <w:t>Uniform across all 13 regions; a single set of corporate handles used platform-wide.</w:t>
            </w:r>
          </w:p>
        </w:tc>
      </w:tr>
      <w:tr>
        <w:tc>
          <w:tcPr>
            <w:tcW w:type="dxa" w:w="3120"/>
          </w:tcPr>
          <w:p>
            <w:r>
              <w:t>REQ-03</w:t>
            </w:r>
          </w:p>
        </w:tc>
        <w:tc>
          <w:tcPr>
            <w:tcW w:type="dxa" w:w="3120"/>
          </w:tcPr>
          <w:p>
            <w:r>
              <w:t>Currency Support</w:t>
            </w:r>
          </w:p>
        </w:tc>
        <w:tc>
          <w:tcPr>
            <w:tcW w:type="dxa" w:w="3120"/>
          </w:tcPr>
          <w:p>
            <w:r>
              <w:t>USD and applicable region-specific local currency toggled via website currency selector.</w:t>
            </w:r>
          </w:p>
        </w:tc>
      </w:tr>
      <w:tr>
        <w:tc>
          <w:tcPr>
            <w:tcW w:type="dxa" w:w="3120"/>
          </w:tcPr>
          <w:p>
            <w:r>
              <w:t>REQ-04</w:t>
            </w:r>
          </w:p>
        </w:tc>
        <w:tc>
          <w:tcPr>
            <w:tcW w:type="dxa" w:w="3120"/>
          </w:tcPr>
          <w:p>
            <w:r>
              <w:t>Exchange Rate Source</w:t>
            </w:r>
          </w:p>
        </w:tc>
        <w:tc>
          <w:tcPr>
            <w:tcW w:type="dxa" w:w="3120"/>
          </w:tcPr>
          <w:p>
            <w:r>
              <w:t>Dynamic live conversion rates pulled via integrated third-party currency API.</w:t>
            </w:r>
          </w:p>
        </w:tc>
      </w:tr>
      <w:tr>
        <w:tc>
          <w:tcPr>
            <w:tcW w:type="dxa" w:w="3120"/>
          </w:tcPr>
          <w:p>
            <w:r>
              <w:t>REQ-05</w:t>
            </w:r>
          </w:p>
        </w:tc>
        <w:tc>
          <w:tcPr>
            <w:tcW w:type="dxa" w:w="3120"/>
          </w:tcPr>
          <w:p>
            <w:r>
              <w:t>Admin Roles</w:t>
            </w:r>
          </w:p>
        </w:tc>
        <w:tc>
          <w:tcPr>
            <w:tcW w:type="dxa" w:w="3120"/>
          </w:tcPr>
          <w:p>
            <w:r>
              <w:t>Role-Based Access Control enforcing Super Admin (unrestricted) and Regional Admin (region-restricted) access.</w:t>
            </w:r>
          </w:p>
        </w:tc>
      </w:tr>
      <w:tr>
        <w:tc>
          <w:tcPr>
            <w:tcW w:type="dxa" w:w="3120"/>
          </w:tcPr>
          <w:p>
            <w:r>
              <w:t>REQ-06</w:t>
            </w:r>
          </w:p>
        </w:tc>
        <w:tc>
          <w:tcPr>
            <w:tcW w:type="dxa" w:w="3120"/>
          </w:tcPr>
          <w:p>
            <w:r>
              <w:t>Log Retention</w:t>
            </w:r>
          </w:p>
        </w:tc>
        <w:tc>
          <w:tcPr>
            <w:tcW w:type="dxa" w:w="3120"/>
          </w:tcPr>
          <w:p>
            <w:r>
              <w:t>System activity logs securely stored and maintained for 3 months from the activity timestamp.</w:t>
            </w:r>
          </w:p>
        </w:tc>
      </w:tr>
      <w:tr>
        <w:tc>
          <w:tcPr>
            <w:tcW w:type="dxa" w:w="3120"/>
          </w:tcPr>
          <w:p>
            <w:r>
              <w:t>REQ-07</w:t>
            </w:r>
          </w:p>
        </w:tc>
        <w:tc>
          <w:tcPr>
            <w:tcW w:type="dxa" w:w="3120"/>
          </w:tcPr>
          <w:p>
            <w:r>
              <w:t>Log Export</w:t>
            </w:r>
          </w:p>
        </w:tc>
        <w:tc>
          <w:tcPr>
            <w:tcW w:type="dxa" w:w="3120"/>
          </w:tcPr>
          <w:p>
            <w:r>
              <w:t>Export access restricted exclusively to the Super Admin role; formats like CSV/PDF under review.</w:t>
            </w:r>
          </w:p>
        </w:tc>
      </w:tr>
      <w:tr>
        <w:tc>
          <w:tcPr>
            <w:tcW w:type="dxa" w:w="3120"/>
          </w:tcPr>
          <w:p>
            <w:r>
              <w:t>REQ-08</w:t>
            </w:r>
          </w:p>
        </w:tc>
        <w:tc>
          <w:tcPr>
            <w:tcW w:type="dxa" w:w="3120"/>
          </w:tcPr>
          <w:p>
            <w:r>
              <w:t>Machine Conditions</w:t>
            </w:r>
          </w:p>
        </w:tc>
        <w:tc>
          <w:tcPr>
            <w:tcW w:type="dxa" w:w="3120"/>
          </w:tcPr>
          <w:p>
            <w:r>
              <w:t>Mandatory categorization filter utilizing New, Used, and Refurbished classification labels.</w:t>
            </w:r>
          </w:p>
        </w:tc>
      </w:tr>
      <w:tr>
        <w:tc>
          <w:tcPr>
            <w:tcW w:type="dxa" w:w="3120"/>
          </w:tcPr>
          <w:p>
            <w:r>
              <w:t>REQ-09</w:t>
            </w:r>
          </w:p>
        </w:tc>
        <w:tc>
          <w:tcPr>
            <w:tcW w:type="dxa" w:w="3120"/>
          </w:tcPr>
          <w:p>
            <w:r>
              <w:t>Hot Seller Tag</w:t>
            </w:r>
          </w:p>
        </w:tc>
        <w:tc>
          <w:tcPr>
            <w:tcW w:type="dxa" w:w="3120"/>
          </w:tcPr>
          <w:p>
            <w:r>
              <w:t>Manual tag flag applied by admins to render promotional badges on product cards and listings.</w:t>
            </w:r>
          </w:p>
        </w:tc>
      </w:tr>
      <w:tr>
        <w:tc>
          <w:tcPr>
            <w:tcW w:type="dxa" w:w="3120"/>
          </w:tcPr>
          <w:p>
            <w:r>
              <w:t>REQ-10</w:t>
            </w:r>
          </w:p>
        </w:tc>
        <w:tc>
          <w:tcPr>
            <w:tcW w:type="dxa" w:w="3120"/>
          </w:tcPr>
          <w:p>
            <w:r>
              <w:t>Enquiry System</w:t>
            </w:r>
          </w:p>
        </w:tc>
        <w:tc>
          <w:tcPr>
            <w:tcW w:type="dxa" w:w="3120"/>
          </w:tcPr>
          <w:p>
            <w:r>
              <w:t>Product-specific enquiry inputs capturing buyer info and routing details directly to relevant admins.</w:t>
            </w:r>
          </w:p>
        </w:tc>
      </w:tr>
      <w:tr>
        <w:tc>
          <w:tcPr>
            <w:tcW w:type="dxa" w:w="3120"/>
          </w:tcPr>
          <w:p>
            <w:r>
              <w:t>REQ-11</w:t>
            </w:r>
          </w:p>
        </w:tc>
        <w:tc>
          <w:tcPr>
            <w:tcW w:type="dxa" w:w="3120"/>
          </w:tcPr>
          <w:p>
            <w:r>
              <w:t>Mining Section</w:t>
            </w:r>
          </w:p>
        </w:tc>
        <w:tc>
          <w:tcPr>
            <w:tcW w:type="dxa" w:w="3120"/>
          </w:tcPr>
          <w:p>
            <w:r>
              <w:t>Dedicated curated sub-section cataloguing available mining equipment with matching filter mechanics.</w:t>
            </w:r>
          </w:p>
        </w:tc>
      </w:tr>
      <w:tr>
        <w:tc>
          <w:tcPr>
            <w:tcW w:type="dxa" w:w="3120"/>
          </w:tcPr>
          <w:p>
            <w:r>
              <w:t>REQ-12</w:t>
            </w:r>
          </w:p>
        </w:tc>
        <w:tc>
          <w:tcPr>
            <w:tcW w:type="dxa" w:w="3120"/>
          </w:tcPr>
          <w:p>
            <w:r>
              <w:t>Rental Products</w:t>
            </w:r>
          </w:p>
        </w:tc>
        <w:tc>
          <w:tcPr>
            <w:tcW w:type="dxa" w:w="3120"/>
          </w:tcPr>
          <w:p>
            <w:r>
              <w:t>Excluded from platform backend management modules; transactions handled offline over phone calls.</w:t>
            </w:r>
          </w:p>
        </w:tc>
      </w:tr>
    </w:tbl>
    <w:p>
      <w:r>
        <w:rPr>
          <w:b/>
          <w:sz w:val="24"/>
        </w:rPr>
        <w:t>9. Open Information Items &amp; Action Points</w:t>
      </w:r>
    </w:p>
    <w:p>
      <w:r>
        <w:t>The following information blocks remain open and must be fulfilled during the technical engineering design loop:</w:t>
        <w:br/>
        <w:t>1. Region-specific contact data (phone numbers, WhatsApp API keys, and operational emails) for all 13 regions.</w:t>
        <w:br/>
        <w:t>2. Exact localized currency alphabetic codes per region (e.g., KES, CDF, etc.) to complete region data schemas.</w:t>
        <w:br/>
        <w:t>3. Explicit confirmation on whether rental products require standard static front-end display cards or complete exclusion.</w:t>
        <w:br/>
        <w:t>4. Exact permission matrix defining granular middleware route restrictions for Regional Admin authorization limits.</w:t>
        <w:br/>
        <w:t>5. Selection and client sign-off on the preferred third-party dynamic live currency conversion API service provider.</w:t>
        <w:br/>
        <w:t>6. Final client delivery of corporate branding assets including vector logo files, color palette palettes, and typography rules.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